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60921">
      <w:pPr>
        <w:spacing w:line="600" w:lineRule="exact"/>
        <w:ind w:left="0"/>
        <w:jc w:val="left"/>
        <w:rPr>
          <w:rFonts w:hint="eastAsia" w:ascii="仿宋_GB2312" w:hAnsi="仿宋_GB2312" w:eastAsia="仿宋_GB2312" w:cs="仿宋_GB2312"/>
          <w:sz w:val="24"/>
        </w:rPr>
      </w:pPr>
      <w:r>
        <w:rPr>
          <w:rFonts w:hint="eastAsia" w:ascii="仿宋_GB2312" w:hAnsi="仿宋_GB2312" w:eastAsia="仿宋_GB2312" w:cs="仿宋_GB2312"/>
          <w:b/>
          <w:sz w:val="28"/>
          <w:szCs w:val="28"/>
        </w:rPr>
        <w:t>附件2-2</w:t>
      </w:r>
    </w:p>
    <w:p w14:paraId="7062DCB1">
      <w:pPr>
        <w:spacing w:line="600" w:lineRule="exact"/>
        <w:ind w:left="0"/>
        <w:jc w:val="center"/>
        <w:rPr>
          <w:rFonts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米贝苗族乡学校</w:t>
      </w:r>
      <w:r>
        <w:rPr>
          <w:rFonts w:hint="eastAsia" w:ascii="宋体" w:hAnsi="宋体"/>
          <w:b/>
          <w:w w:val="85"/>
          <w:sz w:val="36"/>
          <w:szCs w:val="36"/>
          <w:lang w:val="en-US" w:eastAsia="zh-CN"/>
        </w:rPr>
        <w:t>学前教育生均公用经费</w:t>
      </w:r>
      <w:r>
        <w:rPr>
          <w:rFonts w:ascii="宋体" w:hAnsi="宋体"/>
          <w:b/>
          <w:w w:val="85"/>
          <w:sz w:val="36"/>
          <w:szCs w:val="36"/>
        </w:rPr>
        <w:t>项目</w:t>
      </w:r>
    </w:p>
    <w:p w14:paraId="4BF2D552">
      <w:pPr>
        <w:spacing w:line="600" w:lineRule="exact"/>
        <w:ind w:left="0"/>
        <w:jc w:val="center"/>
        <w:rPr>
          <w:rFonts w:ascii="宋体" w:hAnsi="宋体"/>
          <w:b/>
          <w:w w:val="85"/>
          <w:sz w:val="36"/>
          <w:szCs w:val="36"/>
        </w:rPr>
      </w:pP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10836F0">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03EE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473ABD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6CFB774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14570C2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14:paraId="74E3AE8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460C375C">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学前教育生均公用经费</w:t>
            </w:r>
          </w:p>
        </w:tc>
      </w:tr>
      <w:tr w14:paraId="126B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07A6F32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485845D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4458674">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新晃侗族自治县米贝苗族乡学校</w:t>
            </w:r>
          </w:p>
        </w:tc>
        <w:tc>
          <w:tcPr>
            <w:tcW w:w="1628" w:type="dxa"/>
            <w:noWrap w:val="0"/>
            <w:tcMar>
              <w:top w:w="0" w:type="dxa"/>
              <w:left w:w="105" w:type="dxa"/>
              <w:bottom w:w="0" w:type="dxa"/>
              <w:right w:w="105" w:type="dxa"/>
            </w:tcMar>
            <w:vAlign w:val="center"/>
          </w:tcPr>
          <w:p w14:paraId="79EAF6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1596ACF8">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黄生昱</w:t>
            </w:r>
          </w:p>
        </w:tc>
        <w:tc>
          <w:tcPr>
            <w:tcW w:w="1206" w:type="dxa"/>
            <w:noWrap w:val="0"/>
            <w:tcMar>
              <w:top w:w="0" w:type="dxa"/>
              <w:left w:w="105" w:type="dxa"/>
              <w:bottom w:w="0" w:type="dxa"/>
              <w:right w:w="105" w:type="dxa"/>
            </w:tcMar>
            <w:vAlign w:val="center"/>
          </w:tcPr>
          <w:p w14:paraId="6A3C4AD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606EB89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6381007</w:t>
            </w:r>
          </w:p>
        </w:tc>
      </w:tr>
      <w:tr w14:paraId="394B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8B364C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81BCB2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09193F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2E46CB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C9FA58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0867410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668F57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44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05AFED8A">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2334EF6F">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764DD9B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3.9</w:t>
            </w:r>
          </w:p>
        </w:tc>
        <w:tc>
          <w:tcPr>
            <w:tcW w:w="1628" w:type="dxa"/>
            <w:noWrap w:val="0"/>
            <w:tcMar>
              <w:top w:w="0" w:type="dxa"/>
              <w:left w:w="105" w:type="dxa"/>
              <w:bottom w:w="0" w:type="dxa"/>
              <w:right w:w="105" w:type="dxa"/>
            </w:tcMar>
            <w:vAlign w:val="center"/>
          </w:tcPr>
          <w:p w14:paraId="61804A86">
            <w:pPr>
              <w:spacing w:line="320" w:lineRule="exact"/>
              <w:jc w:val="center"/>
              <w:rPr>
                <w:rFonts w:hint="default" w:ascii="仿宋_GB2312" w:hAnsi="仿宋_GB2312" w:eastAsia="仿宋_GB2312" w:cs="仿宋_GB2312"/>
                <w:szCs w:val="21"/>
                <w:lang w:val="en-US" w:eastAsia="zh-CN"/>
              </w:rPr>
            </w:pPr>
          </w:p>
        </w:tc>
        <w:tc>
          <w:tcPr>
            <w:tcW w:w="2303" w:type="dxa"/>
            <w:gridSpan w:val="2"/>
            <w:noWrap w:val="0"/>
            <w:tcMar>
              <w:top w:w="0" w:type="dxa"/>
              <w:left w:w="105" w:type="dxa"/>
              <w:bottom w:w="0" w:type="dxa"/>
              <w:right w:w="105" w:type="dxa"/>
            </w:tcMar>
            <w:vAlign w:val="center"/>
          </w:tcPr>
          <w:p w14:paraId="4E3E0C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1702" w:type="dxa"/>
            <w:gridSpan w:val="2"/>
            <w:noWrap w:val="0"/>
            <w:tcMar>
              <w:top w:w="0" w:type="dxa"/>
              <w:left w:w="105" w:type="dxa"/>
              <w:bottom w:w="0" w:type="dxa"/>
              <w:right w:w="105" w:type="dxa"/>
            </w:tcMar>
            <w:vAlign w:val="center"/>
          </w:tcPr>
          <w:p w14:paraId="236F449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r>
      <w:tr w14:paraId="6467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2EADEF4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713C954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7253544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42ECD99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0047240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7EB6AA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191A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30D8E00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7F69DFC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770BD9D">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4F044D3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60D051C">
            <w:pPr>
              <w:spacing w:line="320" w:lineRule="exact"/>
              <w:jc w:val="center"/>
              <w:rPr>
                <w:rFonts w:hint="eastAsia" w:ascii="仿宋_GB2312" w:hAnsi="仿宋_GB2312" w:eastAsia="仿宋_GB2312" w:cs="仿宋_GB2312"/>
                <w:szCs w:val="21"/>
              </w:rPr>
            </w:pPr>
          </w:p>
        </w:tc>
      </w:tr>
      <w:tr w14:paraId="3437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4AFA456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6C4B974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8B4EC88">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0</w:t>
            </w:r>
            <w:r>
              <w:rPr>
                <w:rFonts w:hint="default" w:ascii="Arial" w:hAnsi="Arial" w:eastAsia="仿宋_GB2312" w:cs="Arial"/>
                <w:szCs w:val="21"/>
                <w:lang w:val="en-US" w:eastAsia="zh-CN"/>
              </w:rPr>
              <w:t>÷</w:t>
            </w:r>
            <w:r>
              <w:rPr>
                <w:rFonts w:hint="eastAsia" w:ascii="仿宋_GB2312" w:hAnsi="仿宋_GB2312" w:eastAsia="仿宋_GB2312" w:cs="仿宋_GB2312"/>
                <w:szCs w:val="21"/>
                <w:lang w:val="en-US" w:eastAsia="zh-CN"/>
              </w:rPr>
              <w:t>3.9=0</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7132EC5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870" w:type="dxa"/>
            <w:noWrap w:val="0"/>
            <w:tcMar>
              <w:top w:w="0" w:type="dxa"/>
              <w:left w:w="105" w:type="dxa"/>
              <w:bottom w:w="0" w:type="dxa"/>
              <w:right w:w="105" w:type="dxa"/>
            </w:tcMar>
            <w:vAlign w:val="center"/>
          </w:tcPr>
          <w:p w14:paraId="26AC8A10">
            <w:pPr>
              <w:spacing w:line="320" w:lineRule="exact"/>
              <w:jc w:val="center"/>
              <w:rPr>
                <w:rFonts w:hint="eastAsia" w:ascii="仿宋_GB2312" w:hAnsi="仿宋_GB2312" w:eastAsia="仿宋_GB2312" w:cs="仿宋_GB2312"/>
                <w:szCs w:val="21"/>
              </w:rPr>
            </w:pPr>
          </w:p>
        </w:tc>
      </w:tr>
      <w:tr w14:paraId="1348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3C4992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DAB374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682D0A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专项资金</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14:paraId="72D6F5F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0E3F7B9">
            <w:pPr>
              <w:spacing w:line="320" w:lineRule="exact"/>
              <w:jc w:val="center"/>
              <w:rPr>
                <w:rFonts w:hint="eastAsia" w:ascii="仿宋_GB2312" w:hAnsi="仿宋_GB2312" w:eastAsia="仿宋_GB2312" w:cs="仿宋_GB2312"/>
                <w:szCs w:val="21"/>
              </w:rPr>
            </w:pPr>
          </w:p>
        </w:tc>
      </w:tr>
      <w:tr w14:paraId="1A14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6DEBDB6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6BFFC8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3DD8A86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5D0D21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31A4F80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1F73944">
            <w:pPr>
              <w:spacing w:line="320" w:lineRule="exact"/>
              <w:jc w:val="center"/>
              <w:rPr>
                <w:rFonts w:hint="eastAsia" w:ascii="仿宋_GB2312" w:hAnsi="仿宋_GB2312" w:eastAsia="仿宋_GB2312" w:cs="仿宋_GB2312"/>
                <w:szCs w:val="21"/>
              </w:rPr>
            </w:pPr>
          </w:p>
        </w:tc>
      </w:tr>
      <w:tr w14:paraId="2E65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val="0"/>
            <w:tcMar>
              <w:top w:w="0" w:type="dxa"/>
              <w:left w:w="105" w:type="dxa"/>
              <w:bottom w:w="0" w:type="dxa"/>
              <w:right w:w="105" w:type="dxa"/>
            </w:tcMar>
            <w:vAlign w:val="center"/>
          </w:tcPr>
          <w:p w14:paraId="4BA688D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val="0"/>
            <w:tcMar>
              <w:top w:w="0" w:type="dxa"/>
              <w:left w:w="105" w:type="dxa"/>
              <w:bottom w:w="0" w:type="dxa"/>
              <w:right w:w="105" w:type="dxa"/>
            </w:tcMar>
            <w:vAlign w:val="center"/>
          </w:tcPr>
          <w:p w14:paraId="4E1EA4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val="0"/>
            <w:tcMar>
              <w:top w:w="0" w:type="dxa"/>
              <w:left w:w="105" w:type="dxa"/>
              <w:bottom w:w="0" w:type="dxa"/>
              <w:right w:w="105" w:type="dxa"/>
            </w:tcMar>
            <w:vAlign w:val="center"/>
          </w:tcPr>
          <w:p w14:paraId="5946E0F9">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产出目标：</w:t>
            </w:r>
            <w:r>
              <w:rPr>
                <w:rFonts w:hint="eastAsia" w:ascii="Times New Roman" w:hAnsi="Times New Roman" w:eastAsia="仿宋_GB2312" w:cs="Times New Roman"/>
                <w:sz w:val="20"/>
                <w:szCs w:val="20"/>
                <w:lang w:val="en-US"/>
              </w:rPr>
              <w:t>全面提升农村学前教育</w:t>
            </w:r>
            <w:r>
              <w:rPr>
                <w:rFonts w:hint="eastAsia" w:ascii="Times New Roman" w:hAnsi="Times New Roman" w:eastAsia="仿宋_GB2312" w:cs="Times New Roman"/>
                <w:sz w:val="20"/>
                <w:szCs w:val="20"/>
                <w:lang w:val="en-US" w:eastAsia="zh-CN"/>
              </w:rPr>
              <w:t>，</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10分。</w:t>
            </w:r>
          </w:p>
        </w:tc>
        <w:tc>
          <w:tcPr>
            <w:tcW w:w="832" w:type="dxa"/>
            <w:noWrap w:val="0"/>
            <w:tcMar>
              <w:top w:w="0" w:type="dxa"/>
              <w:left w:w="105" w:type="dxa"/>
              <w:bottom w:w="0" w:type="dxa"/>
              <w:right w:w="105" w:type="dxa"/>
            </w:tcMar>
            <w:vAlign w:val="center"/>
          </w:tcPr>
          <w:p w14:paraId="3EFF76E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3061D5C">
            <w:pPr>
              <w:spacing w:line="320" w:lineRule="exact"/>
              <w:jc w:val="center"/>
              <w:rPr>
                <w:rFonts w:hint="eastAsia" w:ascii="仿宋_GB2312" w:hAnsi="仿宋_GB2312" w:eastAsia="仿宋_GB2312" w:cs="仿宋_GB2312"/>
                <w:szCs w:val="21"/>
              </w:rPr>
            </w:pPr>
          </w:p>
        </w:tc>
      </w:tr>
      <w:tr w14:paraId="657C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4013A05E">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73FE07DB">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7CB0252C">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产出时效：</w:t>
            </w:r>
            <w:r>
              <w:rPr>
                <w:rFonts w:hint="eastAsia" w:ascii="仿宋_GB2312" w:hAnsi="仿宋_GB2312" w:eastAsia="仿宋_GB2312" w:cs="仿宋_GB2312"/>
                <w:szCs w:val="21"/>
                <w:lang w:val="en-US" w:eastAsia="zh-CN"/>
              </w:rPr>
              <w:t>按时完成当年该项资金拨付，计10分。</w:t>
            </w:r>
          </w:p>
        </w:tc>
        <w:tc>
          <w:tcPr>
            <w:tcW w:w="832" w:type="dxa"/>
            <w:noWrap w:val="0"/>
            <w:tcMar>
              <w:top w:w="0" w:type="dxa"/>
              <w:left w:w="105" w:type="dxa"/>
              <w:bottom w:w="0" w:type="dxa"/>
              <w:right w:w="105" w:type="dxa"/>
            </w:tcMar>
            <w:vAlign w:val="center"/>
          </w:tcPr>
          <w:p w14:paraId="37B7C01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06C3343">
            <w:pPr>
              <w:spacing w:line="320" w:lineRule="exact"/>
              <w:jc w:val="center"/>
              <w:rPr>
                <w:rFonts w:hint="eastAsia" w:ascii="仿宋_GB2312" w:hAnsi="仿宋_GB2312" w:eastAsia="仿宋_GB2312" w:cs="仿宋_GB2312"/>
                <w:szCs w:val="21"/>
              </w:rPr>
            </w:pPr>
          </w:p>
        </w:tc>
      </w:tr>
      <w:tr w14:paraId="74CE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6DB0F280">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480C4ADE">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679D09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成本控制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学前教育生均公用经费3.9万元，按照控制数执行，计10分。</w:t>
            </w:r>
          </w:p>
        </w:tc>
        <w:tc>
          <w:tcPr>
            <w:tcW w:w="832" w:type="dxa"/>
            <w:noWrap w:val="0"/>
            <w:tcMar>
              <w:top w:w="0" w:type="dxa"/>
              <w:left w:w="105" w:type="dxa"/>
              <w:bottom w:w="0" w:type="dxa"/>
              <w:right w:w="105" w:type="dxa"/>
            </w:tcMar>
            <w:vAlign w:val="center"/>
          </w:tcPr>
          <w:p w14:paraId="5843372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26BFA7D8">
            <w:pPr>
              <w:spacing w:line="320" w:lineRule="exact"/>
              <w:jc w:val="center"/>
              <w:rPr>
                <w:rFonts w:hint="eastAsia" w:ascii="仿宋_GB2312" w:hAnsi="仿宋_GB2312" w:eastAsia="仿宋_GB2312" w:cs="仿宋_GB2312"/>
                <w:szCs w:val="21"/>
              </w:rPr>
            </w:pPr>
          </w:p>
        </w:tc>
      </w:tr>
      <w:tr w14:paraId="0303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val="0"/>
            <w:tcMar>
              <w:top w:w="0" w:type="dxa"/>
              <w:left w:w="105" w:type="dxa"/>
              <w:bottom w:w="0" w:type="dxa"/>
              <w:right w:w="105" w:type="dxa"/>
            </w:tcMar>
            <w:vAlign w:val="center"/>
          </w:tcPr>
          <w:p w14:paraId="5C7B4EA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39FEC28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717EC10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项目效益：</w:t>
            </w:r>
            <w:r>
              <w:rPr>
                <w:rFonts w:hint="eastAsia" w:ascii="Times New Roman" w:hAnsi="Times New Roman" w:eastAsia="仿宋_GB2312" w:cs="Times New Roman"/>
                <w:sz w:val="20"/>
                <w:szCs w:val="20"/>
                <w:lang w:val="en-US"/>
              </w:rPr>
              <w:t>保障</w:t>
            </w:r>
            <w:r>
              <w:rPr>
                <w:rFonts w:hint="eastAsia" w:eastAsia="仿宋_GB2312" w:cs="Times New Roman"/>
                <w:sz w:val="20"/>
                <w:szCs w:val="20"/>
                <w:lang w:val="en-US" w:eastAsia="zh-CN"/>
              </w:rPr>
              <w:t>幼儿园</w:t>
            </w:r>
            <w:r>
              <w:rPr>
                <w:rFonts w:hint="eastAsia" w:ascii="Times New Roman" w:hAnsi="Times New Roman" w:eastAsia="仿宋_GB2312" w:cs="Times New Roman"/>
                <w:sz w:val="20"/>
                <w:szCs w:val="20"/>
                <w:lang w:val="en-US"/>
              </w:rPr>
              <w:t>正常运转，</w:t>
            </w:r>
            <w:r>
              <w:rPr>
                <w:rFonts w:hint="eastAsia" w:eastAsia="仿宋_GB2312" w:cs="Times New Roman"/>
                <w:sz w:val="20"/>
                <w:szCs w:val="20"/>
                <w:lang w:val="en-US" w:eastAsia="zh-CN"/>
              </w:rPr>
              <w:t>完成保育保教活动及其他日常任务</w:t>
            </w:r>
            <w:r>
              <w:rPr>
                <w:rFonts w:hint="eastAsia" w:ascii="Times New Roman" w:hAnsi="Times New Roman" w:eastAsia="仿宋_GB2312" w:cs="Times New Roman"/>
                <w:sz w:val="20"/>
                <w:szCs w:val="20"/>
                <w:lang w:val="en-US" w:eastAsia="zh-CN"/>
              </w:rPr>
              <w:t>，</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20分</w:t>
            </w:r>
          </w:p>
        </w:tc>
        <w:tc>
          <w:tcPr>
            <w:tcW w:w="832" w:type="dxa"/>
            <w:noWrap w:val="0"/>
            <w:tcMar>
              <w:top w:w="0" w:type="dxa"/>
              <w:left w:w="105" w:type="dxa"/>
              <w:bottom w:w="0" w:type="dxa"/>
              <w:right w:w="105" w:type="dxa"/>
            </w:tcMar>
            <w:vAlign w:val="center"/>
          </w:tcPr>
          <w:p w14:paraId="0759CF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461F6A4A">
            <w:pPr>
              <w:spacing w:line="320" w:lineRule="exact"/>
              <w:jc w:val="center"/>
              <w:rPr>
                <w:rFonts w:hint="eastAsia" w:ascii="仿宋_GB2312" w:hAnsi="仿宋_GB2312" w:eastAsia="仿宋_GB2312" w:cs="仿宋_GB2312"/>
                <w:szCs w:val="21"/>
              </w:rPr>
            </w:pPr>
          </w:p>
        </w:tc>
      </w:tr>
      <w:tr w14:paraId="083B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1A408D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316AA31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3D529B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eastAsia="zh-CN"/>
              </w:rPr>
              <w:t>：满意度达到</w:t>
            </w:r>
            <w:r>
              <w:rPr>
                <w:rFonts w:hint="eastAsia" w:ascii="仿宋_GB2312" w:hAnsi="仿宋_GB2312" w:eastAsia="仿宋_GB2312" w:cs="仿宋_GB2312"/>
                <w:szCs w:val="21"/>
                <w:lang w:val="en-US" w:eastAsia="zh-CN"/>
              </w:rPr>
              <w:t>95%</w:t>
            </w:r>
          </w:p>
        </w:tc>
        <w:tc>
          <w:tcPr>
            <w:tcW w:w="832" w:type="dxa"/>
            <w:noWrap w:val="0"/>
            <w:tcMar>
              <w:top w:w="0" w:type="dxa"/>
              <w:left w:w="105" w:type="dxa"/>
              <w:bottom w:w="0" w:type="dxa"/>
              <w:right w:w="105" w:type="dxa"/>
            </w:tcMar>
            <w:vAlign w:val="center"/>
          </w:tcPr>
          <w:p w14:paraId="59B136A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1E6EBC2">
            <w:pPr>
              <w:spacing w:line="320" w:lineRule="exact"/>
              <w:jc w:val="center"/>
              <w:rPr>
                <w:rFonts w:hint="eastAsia" w:ascii="仿宋_GB2312" w:hAnsi="仿宋_GB2312" w:eastAsia="仿宋_GB2312" w:cs="仿宋_GB2312"/>
                <w:szCs w:val="21"/>
              </w:rPr>
            </w:pPr>
          </w:p>
        </w:tc>
      </w:tr>
      <w:tr w14:paraId="7F3F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58F6D7F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1EE9B35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3A9F82FE">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1F9F251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90</w:t>
            </w:r>
          </w:p>
        </w:tc>
        <w:tc>
          <w:tcPr>
            <w:tcW w:w="870" w:type="dxa"/>
            <w:noWrap w:val="0"/>
            <w:tcMar>
              <w:top w:w="0" w:type="dxa"/>
              <w:left w:w="105" w:type="dxa"/>
              <w:bottom w:w="0" w:type="dxa"/>
              <w:right w:w="105" w:type="dxa"/>
            </w:tcMar>
            <w:vAlign w:val="center"/>
          </w:tcPr>
          <w:p w14:paraId="58C28A74">
            <w:pPr>
              <w:spacing w:line="320" w:lineRule="exact"/>
              <w:jc w:val="center"/>
              <w:rPr>
                <w:rFonts w:hint="eastAsia" w:ascii="仿宋_GB2312" w:hAnsi="仿宋_GB2312" w:eastAsia="仿宋_GB2312" w:cs="仿宋_GB2312"/>
                <w:szCs w:val="21"/>
              </w:rPr>
            </w:pPr>
          </w:p>
        </w:tc>
      </w:tr>
      <w:tr w14:paraId="0415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53C8776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80668A7">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0711CB05">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75DA5835">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31FC7EC2">
            <w:pPr>
              <w:spacing w:line="320" w:lineRule="exact"/>
              <w:jc w:val="center"/>
              <w:rPr>
                <w:rFonts w:hint="eastAsia" w:ascii="仿宋_GB2312" w:hAnsi="仿宋_GB2312" w:eastAsia="仿宋_GB2312" w:cs="仿宋_GB2312"/>
                <w:szCs w:val="21"/>
              </w:rPr>
            </w:pPr>
          </w:p>
        </w:tc>
      </w:tr>
      <w:tr w14:paraId="5B6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67F6913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180F892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73C549C6">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48AB532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90</w:t>
            </w:r>
          </w:p>
        </w:tc>
        <w:tc>
          <w:tcPr>
            <w:tcW w:w="870" w:type="dxa"/>
            <w:noWrap w:val="0"/>
            <w:tcMar>
              <w:top w:w="0" w:type="dxa"/>
              <w:left w:w="105" w:type="dxa"/>
              <w:bottom w:w="0" w:type="dxa"/>
              <w:right w:w="105" w:type="dxa"/>
            </w:tcMar>
            <w:vAlign w:val="center"/>
          </w:tcPr>
          <w:p w14:paraId="5E11A21E">
            <w:pPr>
              <w:spacing w:line="320" w:lineRule="exact"/>
              <w:jc w:val="center"/>
              <w:rPr>
                <w:rFonts w:hint="eastAsia" w:ascii="仿宋_GB2312" w:hAnsi="仿宋_GB2312" w:eastAsia="仿宋_GB2312" w:cs="仿宋_GB2312"/>
                <w:szCs w:val="21"/>
              </w:rPr>
            </w:pPr>
          </w:p>
        </w:tc>
      </w:tr>
      <w:tr w14:paraId="7FA8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740447C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27EA8A1D">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14:paraId="399F122F">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E02ABB1">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462DE2B">
      <w:pPr>
        <w:spacing w:line="300" w:lineRule="exact"/>
        <w:rPr>
          <w:rFonts w:ascii="仿宋_GB2312" w:hAnsi="仿宋_GB2312" w:eastAsia="仿宋_GB2312" w:cs="仿宋_GB2312"/>
          <w:sz w:val="22"/>
          <w:szCs w:val="22"/>
        </w:rPr>
      </w:pPr>
      <w:r>
        <w:rPr>
          <w:rFonts w:ascii="仿宋_GB2312" w:hAnsi="仿宋_GB2312" w:eastAsia="仿宋_GB2312" w:cs="仿宋_GB2312"/>
          <w:sz w:val="22"/>
          <w:szCs w:val="22"/>
        </w:rPr>
        <w:t>单位负责人）：</w:t>
      </w:r>
      <w:r>
        <w:rPr>
          <w:rFonts w:hint="eastAsia" w:ascii="仿宋_GB2312" w:hAnsi="仿宋_GB2312" w:eastAsia="仿宋_GB2312" w:cs="仿宋_GB2312"/>
          <w:szCs w:val="21"/>
          <w:lang w:eastAsia="zh-CN"/>
        </w:rPr>
        <w:t>黄生昱</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 xml:space="preserve">  项目负责人：</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Cs w:val="21"/>
          <w:lang w:eastAsia="zh-CN"/>
        </w:rPr>
        <w:t>黄生昱</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lang w:val="en-US" w:eastAsia="zh-CN"/>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lang w:val="en-US" w:eastAsia="zh-CN"/>
        </w:rPr>
        <w:t>3</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21</w:t>
      </w:r>
      <w:r>
        <w:rPr>
          <w:rFonts w:ascii="仿宋_GB2312" w:hAnsi="仿宋_GB2312" w:eastAsia="仿宋_GB2312" w:cs="仿宋_GB2312"/>
          <w:sz w:val="22"/>
          <w:szCs w:val="22"/>
        </w:rPr>
        <w:t>日</w:t>
      </w:r>
    </w:p>
    <w:p w14:paraId="6FD6BA47">
      <w:pPr>
        <w:spacing w:before="240" w:line="340" w:lineRule="exact"/>
        <w:jc w:val="left"/>
        <w:rPr>
          <w:b/>
          <w:sz w:val="28"/>
          <w:szCs w:val="28"/>
        </w:rPr>
      </w:pPr>
      <w:r>
        <w:rPr>
          <w:rFonts w:hint="eastAsia" w:ascii="仿宋_GB2312" w:hAnsi="仿宋_GB2312" w:eastAsia="仿宋_GB2312" w:cs="仿宋_GB2312"/>
          <w:b/>
          <w:sz w:val="28"/>
          <w:szCs w:val="28"/>
        </w:rPr>
        <w:t>附件2-3</w:t>
      </w:r>
    </w:p>
    <w:p w14:paraId="310C45A2">
      <w:pPr>
        <w:spacing w:line="600" w:lineRule="exact"/>
        <w:jc w:val="center"/>
        <w:rPr>
          <w:rFonts w:ascii="宋体" w:hAnsi="宋体"/>
          <w:b/>
          <w:w w:val="85"/>
          <w:sz w:val="36"/>
          <w:szCs w:val="36"/>
        </w:rPr>
      </w:pPr>
      <w:r>
        <w:rPr>
          <w:rFonts w:hint="eastAsia" w:ascii="宋体" w:hAnsi="宋体" w:eastAsia="方正粗宋简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米贝苗族乡学校</w:t>
      </w:r>
      <w:r>
        <w:rPr>
          <w:rFonts w:hint="eastAsia" w:ascii="宋体" w:hAnsi="宋体"/>
          <w:b/>
          <w:w w:val="85"/>
          <w:sz w:val="36"/>
          <w:szCs w:val="36"/>
          <w:lang w:val="en-US" w:eastAsia="zh-CN"/>
        </w:rPr>
        <w:t>学前教育生均公用经费</w:t>
      </w:r>
      <w:r>
        <w:rPr>
          <w:rFonts w:hint="eastAsia" w:ascii="宋体" w:hAnsi="宋体"/>
          <w:b/>
          <w:w w:val="85"/>
          <w:sz w:val="36"/>
          <w:szCs w:val="36"/>
        </w:rPr>
        <w:t>项目</w:t>
      </w:r>
      <w:r>
        <w:rPr>
          <w:rFonts w:ascii="宋体" w:hAnsi="宋体"/>
          <w:b/>
          <w:w w:val="85"/>
          <w:sz w:val="36"/>
          <w:szCs w:val="36"/>
        </w:rPr>
        <w:t>支出</w:t>
      </w:r>
    </w:p>
    <w:p w14:paraId="0E657D80">
      <w:pPr>
        <w:spacing w:line="600" w:lineRule="exact"/>
        <w:jc w:val="center"/>
        <w:rPr>
          <w:rFonts w:hint="eastAsia" w:ascii="宋体" w:hAnsi="宋体"/>
          <w:b/>
          <w:w w:val="85"/>
          <w:sz w:val="36"/>
          <w:szCs w:val="36"/>
        </w:rPr>
      </w:pPr>
      <w:r>
        <w:rPr>
          <w:rFonts w:hint="eastAsia" w:ascii="宋体" w:hAnsi="宋体"/>
          <w:b/>
          <w:w w:val="85"/>
          <w:sz w:val="36"/>
          <w:szCs w:val="36"/>
        </w:rPr>
        <w:t>绩效</w:t>
      </w:r>
      <w:r>
        <w:rPr>
          <w:rFonts w:ascii="宋体" w:hAnsi="宋体"/>
          <w:b/>
          <w:w w:val="85"/>
          <w:sz w:val="36"/>
          <w:szCs w:val="36"/>
        </w:rPr>
        <w:t>自评报告</w:t>
      </w:r>
    </w:p>
    <w:p w14:paraId="48C65DA2">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cs="宋体"/>
          <w:b/>
          <w:sz w:val="32"/>
          <w:szCs w:val="32"/>
        </w:rPr>
        <w:t>一、基本情况</w:t>
      </w:r>
    </w:p>
    <w:p w14:paraId="63D6294C">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1、为提升学前教育质量，保障幼儿园日常运转，政府按在园幼儿人数拨付生均公用经费，用于教学、师资、设施等方面。</w:t>
      </w:r>
    </w:p>
    <w:p w14:paraId="67B1084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2、资金投入和使用情况</w:t>
      </w:r>
    </w:p>
    <w:p w14:paraId="14EA15E0">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截止2024年12月，我校学前教育生均公用经费项目资金3.9万元全部拨付到位，到位率为100%。</w:t>
      </w:r>
    </w:p>
    <w:p w14:paraId="4D008253">
      <w:pPr>
        <w:spacing w:line="600" w:lineRule="exact"/>
        <w:ind w:firstLine="640" w:firstLineChars="200"/>
        <w:rPr>
          <w:rFonts w:hint="default"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项目资金执行情况：截止2024年12月，本年度支付学前教育生均公用经费项目资金0万元，执行率为0%。</w:t>
      </w:r>
    </w:p>
    <w:p w14:paraId="1FCA70DA">
      <w:pPr>
        <w:pStyle w:val="4"/>
        <w:keepNext w:val="0"/>
        <w:keepLines w:val="0"/>
        <w:pageBreakBefore w:val="0"/>
        <w:widowControl w:val="0"/>
        <w:kinsoku/>
        <w:wordWrap/>
        <w:overflowPunct/>
        <w:topLinePunct w:val="0"/>
        <w:autoSpaceDE/>
        <w:autoSpaceDN/>
        <w:bidi w:val="0"/>
        <w:adjustRightInd/>
        <w:snapToGrid/>
        <w:spacing w:after="0" w:line="480" w:lineRule="auto"/>
        <w:ind w:left="0" w:leftChars="0" w:firstLine="560" w:firstLineChars="0"/>
        <w:jc w:val="left"/>
        <w:rPr>
          <w:rFonts w:hint="eastAsia" w:ascii="仿宋_GB2312" w:hAnsi="仿宋_GB2312" w:eastAsia="仿宋_GB2312" w:cs="仿宋_GB2312"/>
          <w:sz w:val="32"/>
          <w:szCs w:val="32"/>
          <w:lang w:val="en-US" w:eastAsia="zh-CN" w:bidi="ar-SA"/>
        </w:rPr>
      </w:pPr>
      <w:r>
        <w:rPr>
          <w:rFonts w:hint="eastAsia" w:ascii="仿宋" w:hAnsi="仿宋" w:eastAsia="仿宋" w:cs="Times New Roman"/>
          <w:sz w:val="32"/>
          <w:szCs w:val="32"/>
          <w:lang w:val="en-US" w:eastAsia="zh-CN" w:bidi="ar-SA"/>
        </w:rPr>
        <w:t>项目实施情况：</w:t>
      </w:r>
      <w:r>
        <w:rPr>
          <w:rFonts w:hint="default" w:ascii="仿宋" w:hAnsi="仿宋" w:eastAsia="仿宋" w:cs="Times New Roman"/>
          <w:sz w:val="32"/>
          <w:szCs w:val="32"/>
          <w:lang w:eastAsia="zh-CN" w:bidi="ar-SA"/>
        </w:rPr>
        <w:t>在项目实施期内</w:t>
      </w:r>
      <w:r>
        <w:rPr>
          <w:rFonts w:hint="eastAsia" w:ascii="仿宋_GB2312" w:hAnsi="仿宋_GB2312" w:eastAsia="仿宋_GB2312" w:cs="仿宋_GB2312"/>
          <w:sz w:val="32"/>
          <w:szCs w:val="32"/>
          <w:lang w:val="en-US" w:eastAsia="zh-CN"/>
        </w:rPr>
        <w:t>确保了项目的资金充足</w:t>
      </w:r>
      <w:r>
        <w:rPr>
          <w:rFonts w:hint="eastAsia" w:ascii="仿宋" w:hAnsi="仿宋" w:eastAsia="仿宋" w:cs="Times New Roman"/>
          <w:sz w:val="32"/>
          <w:szCs w:val="32"/>
          <w:lang w:val="en-US" w:eastAsia="zh-CN" w:bidi="ar-SA"/>
        </w:rPr>
        <w:t>为教育教学提供保障，</w:t>
      </w:r>
      <w:r>
        <w:rPr>
          <w:rFonts w:hint="default" w:ascii="仿宋_GB2312" w:hAnsi="仿宋_GB2312" w:eastAsia="仿宋_GB2312" w:cs="仿宋_GB2312"/>
          <w:sz w:val="32"/>
          <w:szCs w:val="32"/>
          <w:lang w:eastAsia="zh-CN"/>
        </w:rPr>
        <w:t>确保了项目</w:t>
      </w:r>
      <w:bookmarkStart w:id="0" w:name="_GoBack"/>
      <w:bookmarkEnd w:id="0"/>
      <w:r>
        <w:rPr>
          <w:rFonts w:hint="eastAsia" w:ascii="仿宋_GB2312" w:hAnsi="仿宋_GB2312" w:eastAsia="仿宋_GB2312" w:cs="仿宋_GB2312"/>
          <w:sz w:val="32"/>
          <w:szCs w:val="32"/>
          <w:lang w:val="en-US" w:eastAsia="zh-CN"/>
        </w:rPr>
        <w:t>顺利开展。</w:t>
      </w:r>
    </w:p>
    <w:p w14:paraId="1D6748EB">
      <w:pPr>
        <w:pStyle w:val="4"/>
        <w:spacing w:after="0" w:line="600" w:lineRule="exact"/>
        <w:ind w:firstLine="640" w:firstLineChars="200"/>
        <w:jc w:val="left"/>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rPr>
        <w:t>项目绩效目标：该项目的实施为保障幼儿园正常运转，完成保育保教活动和其他日常人物等方面。</w:t>
      </w:r>
    </w:p>
    <w:p w14:paraId="16557FE5">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二、绩效评价工作开展情况</w:t>
      </w:r>
    </w:p>
    <w:p w14:paraId="4C1C1BE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39AE5631">
      <w:pPr>
        <w:spacing w:line="600" w:lineRule="exact"/>
        <w:ind w:firstLine="640" w:firstLineChars="200"/>
        <w:rPr>
          <w:rFonts w:ascii="仿宋" w:hAnsi="仿宋" w:eastAsia="仿宋"/>
          <w:sz w:val="32"/>
          <w:szCs w:val="32"/>
        </w:rPr>
      </w:pPr>
      <w:r>
        <w:rPr>
          <w:rFonts w:hint="eastAsia" w:ascii="仿宋" w:hAnsi="仿宋" w:eastAsia="仿宋"/>
          <w:sz w:val="32"/>
          <w:szCs w:val="32"/>
        </w:rPr>
        <w:t>绩效评价目的</w:t>
      </w:r>
      <w:r>
        <w:rPr>
          <w:rFonts w:hint="eastAsia" w:ascii="仿宋" w:hAnsi="仿宋" w:eastAsia="仿宋"/>
          <w:sz w:val="32"/>
          <w:szCs w:val="32"/>
          <w:lang w:eastAsia="zh-CN"/>
        </w:rPr>
        <w:t>：</w:t>
      </w:r>
      <w:r>
        <w:rPr>
          <w:rFonts w:hint="eastAsia" w:ascii="仿宋_GB2312" w:hAnsi="仿宋_GB2312" w:eastAsia="仿宋_GB2312" w:cs="仿宋_GB2312"/>
          <w:color w:val="000000"/>
          <w:kern w:val="0"/>
          <w:sz w:val="32"/>
          <w:szCs w:val="32"/>
        </w:rPr>
        <w:t>在项目期内充分合理使用预算，避免出现专项资金滞留及挪用等违规违纪行为。</w:t>
      </w:r>
      <w:r>
        <w:rPr>
          <w:rFonts w:hint="eastAsia" w:ascii="仿宋" w:hAnsi="仿宋" w:eastAsia="仿宋"/>
          <w:sz w:val="32"/>
          <w:szCs w:val="32"/>
        </w:rPr>
        <w:t>通过评价进一步客观地反映政策的执行情况、履职情况、项目实施情况和效果。分析营养改善计划政策的精准有效实施情况、资金到位及管理情况、绩效目标完成情况。为进一步规范财政资金运行和预算绩效管理，完善政策制度，推动部门有效履职，优化资源配置和财政支出结构强化支出责任，提高财政资金的导向作用提供支撑。</w:t>
      </w:r>
    </w:p>
    <w:p w14:paraId="6CD31A82">
      <w:pPr>
        <w:spacing w:line="600" w:lineRule="exact"/>
        <w:ind w:firstLine="640" w:firstLineChars="200"/>
        <w:rPr>
          <w:rFonts w:ascii="仿宋" w:hAnsi="仿宋" w:eastAsia="仿宋"/>
          <w:sz w:val="32"/>
          <w:szCs w:val="32"/>
        </w:rPr>
      </w:pPr>
      <w:r>
        <w:rPr>
          <w:rFonts w:hint="eastAsia" w:ascii="仿宋" w:hAnsi="仿宋" w:eastAsia="仿宋"/>
          <w:sz w:val="32"/>
          <w:szCs w:val="32"/>
        </w:rPr>
        <w:t>评价对象</w:t>
      </w:r>
      <w:r>
        <w:rPr>
          <w:rFonts w:hint="eastAsia" w:ascii="仿宋" w:hAnsi="仿宋" w:eastAsia="仿宋"/>
          <w:sz w:val="32"/>
          <w:szCs w:val="32"/>
          <w:lang w:eastAsia="zh-CN"/>
        </w:rPr>
        <w:t>：</w:t>
      </w:r>
      <w:r>
        <w:rPr>
          <w:rFonts w:hint="eastAsia" w:ascii="仿宋" w:hAnsi="仿宋" w:eastAsia="仿宋"/>
          <w:sz w:val="32"/>
          <w:szCs w:val="32"/>
          <w:lang w:val="en-US" w:eastAsia="zh-CN"/>
        </w:rPr>
        <w:t>学前教育生均公用经费</w:t>
      </w:r>
      <w:r>
        <w:rPr>
          <w:rFonts w:hint="eastAsia" w:ascii="仿宋" w:hAnsi="仿宋" w:eastAsia="仿宋"/>
          <w:sz w:val="32"/>
          <w:szCs w:val="32"/>
        </w:rPr>
        <w:t>资金项目。</w:t>
      </w:r>
    </w:p>
    <w:p w14:paraId="500CF2EB">
      <w:pPr>
        <w:numPr>
          <w:ilvl w:val="0"/>
          <w:numId w:val="0"/>
        </w:numPr>
        <w:spacing w:line="560" w:lineRule="exact"/>
        <w:ind w:left="600" w:leftChars="0"/>
        <w:jc w:val="left"/>
        <w:rPr>
          <w:rFonts w:hint="eastAsia" w:ascii="仿宋_GB2312" w:hAnsi="仿宋_GB2312" w:eastAsia="仿宋_GB2312" w:cs="仿宋_GB2312"/>
          <w:sz w:val="32"/>
          <w:szCs w:val="32"/>
        </w:rPr>
      </w:pPr>
      <w:r>
        <w:rPr>
          <w:rFonts w:hint="eastAsia" w:ascii="仿宋" w:hAnsi="仿宋" w:eastAsia="仿宋"/>
          <w:sz w:val="32"/>
          <w:szCs w:val="32"/>
        </w:rPr>
        <w:t>评价范围</w:t>
      </w:r>
      <w:r>
        <w:rPr>
          <w:rFonts w:hint="eastAsia" w:ascii="仿宋" w:hAnsi="仿宋" w:eastAsia="仿宋"/>
          <w:sz w:val="32"/>
          <w:szCs w:val="32"/>
          <w:lang w:eastAsia="zh-CN"/>
        </w:rPr>
        <w:t>：</w:t>
      </w:r>
      <w:r>
        <w:rPr>
          <w:rFonts w:hint="eastAsia" w:ascii="仿宋" w:hAnsi="仿宋" w:eastAsia="仿宋"/>
          <w:sz w:val="32"/>
          <w:szCs w:val="32"/>
        </w:rPr>
        <w:t>包括202</w:t>
      </w:r>
      <w:r>
        <w:rPr>
          <w:rFonts w:hint="eastAsia" w:ascii="仿宋" w:hAnsi="仿宋" w:eastAsia="仿宋"/>
          <w:sz w:val="32"/>
          <w:szCs w:val="32"/>
          <w:lang w:val="en-US" w:eastAsia="zh-CN"/>
        </w:rPr>
        <w:t>4年学前教育生均公用经费</w:t>
      </w:r>
      <w:r>
        <w:rPr>
          <w:rFonts w:hint="eastAsia" w:ascii="仿宋" w:hAnsi="仿宋" w:eastAsia="仿宋"/>
          <w:sz w:val="32"/>
          <w:szCs w:val="32"/>
        </w:rPr>
        <w:t>资金</w:t>
      </w:r>
      <w:r>
        <w:rPr>
          <w:rFonts w:hint="eastAsia" w:ascii="仿宋" w:hAnsi="仿宋" w:eastAsia="仿宋"/>
          <w:sz w:val="32"/>
          <w:szCs w:val="32"/>
          <w:lang w:val="en-US" w:eastAsia="zh-CN"/>
        </w:rPr>
        <w:t>及项目实施情况</w:t>
      </w:r>
      <w:r>
        <w:rPr>
          <w:rFonts w:hint="eastAsia" w:ascii="仿宋" w:hAnsi="仿宋" w:eastAsia="仿宋"/>
          <w:sz w:val="32"/>
          <w:szCs w:val="32"/>
        </w:rPr>
        <w:t>。</w:t>
      </w:r>
    </w:p>
    <w:p w14:paraId="4A9AC2DC">
      <w:pPr>
        <w:numPr>
          <w:ilvl w:val="0"/>
          <w:numId w:val="1"/>
        </w:numPr>
        <w:spacing w:line="560" w:lineRule="exact"/>
        <w:ind w:left="-4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14:paraId="4E193FA5">
      <w:pPr>
        <w:spacing w:line="600" w:lineRule="exact"/>
        <w:ind w:firstLine="640" w:firstLineChars="200"/>
        <w:rPr>
          <w:rFonts w:ascii="仿宋" w:hAnsi="仿宋" w:eastAsia="仿宋"/>
          <w:sz w:val="32"/>
          <w:szCs w:val="32"/>
        </w:rPr>
      </w:pPr>
      <w:r>
        <w:rPr>
          <w:rFonts w:hint="eastAsia" w:ascii="仿宋" w:hAnsi="仿宋" w:eastAsia="仿宋"/>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5E9EE58B">
      <w:p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（三）绩效评价工作过程：认真参照项目绩效评分标准，对执行情况逐项进行量化评分。</w:t>
      </w:r>
    </w:p>
    <w:p w14:paraId="3E28F9F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三、综合评价情况及评价结论（附相关评分表）</w:t>
      </w:r>
    </w:p>
    <w:p w14:paraId="012884C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根据《湖南省预算支出绩效评价管理办法》（湘财绩〔2020〕7号）和《新晃侗族自治县财政局关于开展202</w:t>
      </w:r>
      <w:r>
        <w:rPr>
          <w:rFonts w:hint="eastAsia" w:ascii="仿宋" w:hAnsi="仿宋" w:eastAsia="仿宋"/>
          <w:sz w:val="32"/>
          <w:szCs w:val="32"/>
          <w:lang w:val="en-US" w:eastAsia="zh-CN"/>
        </w:rPr>
        <w:t>4</w:t>
      </w:r>
      <w:r>
        <w:rPr>
          <w:rFonts w:hint="eastAsia" w:ascii="仿宋" w:hAnsi="仿宋" w:eastAsia="仿宋"/>
          <w:sz w:val="32"/>
          <w:szCs w:val="32"/>
        </w:rPr>
        <w:t>年度部门预算支出绩效自评工作的通知》（晃财绩〔202</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号）等文件要求，我单位成立了绩效自评工作小组，对</w:t>
      </w:r>
      <w:r>
        <w:rPr>
          <w:rFonts w:hint="eastAsia" w:ascii="仿宋" w:hAnsi="仿宋" w:eastAsia="仿宋"/>
          <w:sz w:val="32"/>
          <w:szCs w:val="32"/>
          <w:lang w:val="en-US" w:eastAsia="zh-CN"/>
        </w:rPr>
        <w:t>学前教育生均公用经费</w:t>
      </w:r>
      <w:r>
        <w:rPr>
          <w:rFonts w:hint="eastAsia" w:ascii="仿宋" w:hAnsi="仿宋" w:eastAsia="仿宋"/>
          <w:sz w:val="32"/>
          <w:szCs w:val="32"/>
        </w:rPr>
        <w:t>项目支出开展了绩效自评工作。组织人员收集项目资料，检查会计凭证，在规定的时间内，对项目的实施过程进行了全面、科学、细致的评价。</w:t>
      </w:r>
    </w:p>
    <w:p w14:paraId="3AA99CB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本次自评，对照项目绩效目标，从项目预算编制、项目组织管理、资金使用、项目产出、项目效益、满意度等方面逐一分析评价，总体自评得分</w:t>
      </w:r>
      <w:r>
        <w:rPr>
          <w:rFonts w:hint="eastAsia" w:ascii="仿宋" w:hAnsi="仿宋" w:eastAsia="仿宋"/>
          <w:sz w:val="32"/>
          <w:szCs w:val="32"/>
          <w:lang w:val="en-US" w:eastAsia="zh-CN"/>
        </w:rPr>
        <w:t>90</w:t>
      </w:r>
      <w:r>
        <w:rPr>
          <w:rFonts w:hint="eastAsia" w:ascii="仿宋" w:hAnsi="仿宋" w:eastAsia="仿宋"/>
          <w:sz w:val="32"/>
          <w:szCs w:val="32"/>
        </w:rPr>
        <w:t>分，绩效评价等级为“优”。</w:t>
      </w:r>
    </w:p>
    <w:p w14:paraId="20E05BE6">
      <w:pPr>
        <w:spacing w:line="56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14:paraId="4D09707E">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（一）项目决策情况</w:t>
      </w:r>
      <w:r>
        <w:rPr>
          <w:rFonts w:hint="eastAsia" w:ascii="仿宋" w:hAnsi="仿宋" w:eastAsia="仿宋"/>
          <w:sz w:val="32"/>
          <w:szCs w:val="32"/>
          <w:lang w:eastAsia="zh-CN"/>
        </w:rPr>
        <w:t>：</w:t>
      </w:r>
      <w:r>
        <w:rPr>
          <w:rFonts w:hint="eastAsia" w:ascii="仿宋" w:hAnsi="仿宋" w:eastAsia="仿宋"/>
          <w:sz w:val="32"/>
          <w:szCs w:val="32"/>
        </w:rPr>
        <w:t>通过</w:t>
      </w:r>
      <w:r>
        <w:rPr>
          <w:rFonts w:hint="eastAsia" w:ascii="仿宋" w:hAnsi="仿宋" w:eastAsia="仿宋"/>
          <w:sz w:val="32"/>
          <w:szCs w:val="32"/>
          <w:lang w:eastAsia="zh-CN"/>
        </w:rPr>
        <w:t>年初对该项专项经费认真列好支出预算，严格按照专项资金管理制度保证资金及时足额发放到位。</w:t>
      </w:r>
    </w:p>
    <w:p w14:paraId="2675454A">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（二）项目过程情况</w:t>
      </w:r>
      <w:r>
        <w:rPr>
          <w:rFonts w:hint="eastAsia" w:ascii="仿宋" w:hAnsi="仿宋" w:eastAsia="仿宋"/>
          <w:sz w:val="32"/>
          <w:szCs w:val="32"/>
          <w:lang w:eastAsia="zh-CN"/>
        </w:rPr>
        <w:t>：</w:t>
      </w:r>
      <w:r>
        <w:rPr>
          <w:rFonts w:hint="eastAsia" w:ascii="仿宋" w:hAnsi="仿宋" w:eastAsia="仿宋"/>
          <w:sz w:val="32"/>
          <w:szCs w:val="32"/>
        </w:rPr>
        <w:t>此项项目资金严格按照专项资金管理办法，按规定控制资金使用范围。资金使用符合项目预算批复或合同规定用途，不存在截留、挤占、挪用、虚列支出、违规使用等情况。</w:t>
      </w:r>
    </w:p>
    <w:p w14:paraId="29CC1504">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（三）项目产出情况</w:t>
      </w:r>
      <w:r>
        <w:rPr>
          <w:rFonts w:hint="eastAsia" w:ascii="仿宋" w:hAnsi="仿宋" w:eastAsia="仿宋"/>
          <w:sz w:val="32"/>
          <w:szCs w:val="32"/>
          <w:lang w:eastAsia="zh-CN"/>
        </w:rPr>
        <w:t>：</w:t>
      </w:r>
    </w:p>
    <w:p w14:paraId="69A46714">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产出目标：</w:t>
      </w:r>
      <w:r>
        <w:rPr>
          <w:rFonts w:hint="eastAsia" w:ascii="仿宋" w:hAnsi="仿宋" w:eastAsia="仿宋" w:cs="Times New Roman"/>
          <w:sz w:val="32"/>
          <w:szCs w:val="32"/>
          <w:lang w:val="en-US" w:eastAsia="zh-CN" w:bidi="ar-SA"/>
        </w:rPr>
        <w:t>保障幼儿园正常运转，全面提升农村学前教育。</w:t>
      </w:r>
    </w:p>
    <w:p w14:paraId="6F991527">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产出数量：</w:t>
      </w:r>
      <w:r>
        <w:rPr>
          <w:rFonts w:hint="eastAsia" w:ascii="仿宋" w:hAnsi="仿宋" w:eastAsia="仿宋" w:cs="Times New Roman"/>
          <w:sz w:val="32"/>
          <w:szCs w:val="32"/>
          <w:lang w:val="en-US" w:eastAsia="zh-CN" w:bidi="ar-SA"/>
        </w:rPr>
        <w:t>学前教育生均公用经费总金额。</w:t>
      </w:r>
    </w:p>
    <w:p w14:paraId="3FB8448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产出时效：</w:t>
      </w:r>
      <w:r>
        <w:rPr>
          <w:rFonts w:hint="eastAsia" w:ascii="仿宋" w:hAnsi="仿宋" w:eastAsia="仿宋"/>
          <w:sz w:val="32"/>
          <w:szCs w:val="32"/>
          <w:lang w:val="en-US" w:eastAsia="zh-CN"/>
        </w:rPr>
        <w:t>年底前按时完成本年</w:t>
      </w:r>
      <w:r>
        <w:rPr>
          <w:rFonts w:hint="eastAsia" w:ascii="仿宋" w:hAnsi="仿宋" w:eastAsia="仿宋" w:cs="Times New Roman"/>
          <w:sz w:val="32"/>
          <w:szCs w:val="32"/>
          <w:lang w:val="en-US" w:eastAsia="zh-CN" w:bidi="ar-SA"/>
        </w:rPr>
        <w:t>学前</w:t>
      </w:r>
      <w:r>
        <w:rPr>
          <w:rFonts w:hint="eastAsia" w:ascii="仿宋" w:hAnsi="仿宋" w:eastAsia="仿宋"/>
          <w:sz w:val="32"/>
          <w:szCs w:val="32"/>
          <w:lang w:val="en-US" w:eastAsia="zh-CN"/>
        </w:rPr>
        <w:t>教育生均公用经费项目。</w:t>
      </w:r>
    </w:p>
    <w:p w14:paraId="63F3A2BF">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成本控制：</w:t>
      </w:r>
      <w:r>
        <w:rPr>
          <w:rFonts w:hint="eastAsia" w:ascii="仿宋" w:hAnsi="仿宋" w:eastAsia="仿宋" w:cs="Times New Roman"/>
          <w:sz w:val="32"/>
          <w:szCs w:val="32"/>
          <w:lang w:val="en-US" w:eastAsia="zh-CN" w:bidi="ar-SA"/>
        </w:rPr>
        <w:t>学前教育生均公用经费</w:t>
      </w:r>
      <w:r>
        <w:rPr>
          <w:rFonts w:hint="eastAsia" w:ascii="仿宋" w:hAnsi="仿宋" w:eastAsia="仿宋"/>
          <w:sz w:val="32"/>
          <w:szCs w:val="32"/>
          <w:lang w:val="en-US" w:eastAsia="zh-CN"/>
        </w:rPr>
        <w:t>3.9万元，按照控制数严格执行。</w:t>
      </w:r>
    </w:p>
    <w:p w14:paraId="4EB2B47B">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（四）项目效益情况</w:t>
      </w:r>
      <w:r>
        <w:rPr>
          <w:rFonts w:hint="eastAsia" w:ascii="仿宋" w:hAnsi="仿宋" w:eastAsia="仿宋"/>
          <w:sz w:val="32"/>
          <w:szCs w:val="32"/>
          <w:lang w:eastAsia="zh-CN"/>
        </w:rPr>
        <w:t>：</w:t>
      </w:r>
      <w:r>
        <w:rPr>
          <w:rFonts w:hint="eastAsia" w:ascii="仿宋" w:hAnsi="仿宋" w:eastAsia="仿宋"/>
          <w:sz w:val="32"/>
          <w:szCs w:val="32"/>
          <w:lang w:val="en-US" w:eastAsia="zh-CN"/>
        </w:rPr>
        <w:t>学校通过精细化的预算管理和严格的审批流程，确保每一笔资金都用在刀刃上，避免资金闲置与浪费，提高资金使用效率，充足经费保障保育保教活动开展。</w:t>
      </w:r>
    </w:p>
    <w:p w14:paraId="330D4496">
      <w:pPr>
        <w:spacing w:line="560" w:lineRule="exact"/>
        <w:ind w:left="0" w:leftChars="0" w:firstLine="643" w:firstLineChars="200"/>
        <w:jc w:val="left"/>
        <w:rPr>
          <w:rFonts w:hint="eastAsia" w:ascii="宋体" w:hAnsi="宋体" w:cs="宋体"/>
          <w:b/>
          <w:sz w:val="32"/>
          <w:szCs w:val="32"/>
        </w:rPr>
      </w:pPr>
      <w:r>
        <w:rPr>
          <w:rFonts w:hint="eastAsia" w:ascii="宋体" w:hAnsi="宋体" w:cs="宋体"/>
          <w:b/>
          <w:sz w:val="32"/>
          <w:szCs w:val="32"/>
        </w:rPr>
        <w:t>五、主要经验及做法、存在的问题及原因分析</w:t>
      </w:r>
    </w:p>
    <w:p w14:paraId="13F65208">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经验及做法：建立规范财务制度：制定严格经费使用审批流程，每笔支出需经部门申请、财务审核、校领导审批，确保资金使用合规透明。依据学校发展规划与实际需求，科学编制年度预算，明确各项支出比例与金额，并严格按预算执行，定期进行预算执行情况分析与调整。成立由学校领导、教师代表组成的监督小组，定期对经费使用情况检查，接受全体师生与家长监督，发现问题及时整改。</w:t>
      </w:r>
    </w:p>
    <w:p w14:paraId="0286D0A0">
      <w:pPr>
        <w:numPr>
          <w:ilvl w:val="0"/>
          <w:numId w:val="2"/>
        </w:numPr>
        <w:spacing w:line="560" w:lineRule="exact"/>
        <w:ind w:leftChars="200" w:firstLine="321" w:firstLineChars="100"/>
        <w:jc w:val="left"/>
        <w:rPr>
          <w:rFonts w:hint="eastAsia" w:ascii="宋体" w:hAnsi="宋体" w:cs="宋体"/>
          <w:b/>
          <w:sz w:val="32"/>
          <w:szCs w:val="32"/>
        </w:rPr>
      </w:pPr>
      <w:r>
        <w:rPr>
          <w:rFonts w:hint="eastAsia" w:ascii="宋体" w:hAnsi="宋体" w:cs="宋体"/>
          <w:b/>
          <w:sz w:val="32"/>
          <w:szCs w:val="32"/>
        </w:rPr>
        <w:t>有关建议</w:t>
      </w:r>
    </w:p>
    <w:p w14:paraId="37D92EB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（一）完善资金测算，细化项目实施内容</w:t>
      </w:r>
    </w:p>
    <w:p w14:paraId="25902FA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建议坚持以需求为导向，根据具体资金支出方向，结合项目性质和特点，进一步完善项目完善资金测算，确保资金发挥效益。二是建议根据项目实施总体目标，结合项目具体实施内容和资金支出方向，细化项目资金支出，科学制定项目实施方案，确保资金的有效利用和最大化效益。</w:t>
      </w:r>
    </w:p>
    <w:p w14:paraId="027B9D51">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（二）严格执行项目管理制度，提高管理规范</w:t>
      </w:r>
    </w:p>
    <w:p w14:paraId="3F4F74C3">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以过程监管为着力点，进一步加强项目实施管理。建议主管部门及时更新资金管理办法，提高资金使用效益；建议主管部门及项目实施单位健全项目建设管理长效机制，完善项目实施过程中涉及的人力、档案建设等相关制度体系，提高制度建设的完备性，确保项目实施内容完整、程序合规、资金使用规范等。建议每年及时组织人员督促该项目及时归档档案资料。</w:t>
      </w:r>
    </w:p>
    <w:p w14:paraId="6CB39C0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（三）加强项目绩效管理，夯实绩效管理基础</w:t>
      </w:r>
    </w:p>
    <w:p w14:paraId="586BB24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提高绩效评价的重视程度。加强预算部门绩效意识，提高财政项目资金使用绩效和科学化精细化管理水平。建立健全绩效管理办法，进一步明确部门单位预算绩效管理责任，为全面推进绩效管理工作提供制度支撑。二是提高预算绩效管理的精准度。在设定预算绩效指标时，对绩效目标完整性、合理性、针对性、可操作性进行评估，结合项目的具体情况进行细化，持续完善财政绩效评价指标体系，充分体现项目的数量、质量、时效、成本等关键指标，并使指标设定更加精确、可衡量。三是扎实做好绩效管理基础工作，严格按照规范实施部门自评，确保绩效自评工作质量。结合年度阶段性工作计划和预算绩效管理要求，组织预算绩效政策业务培训，增强业务人员实操能力，提升绩效管理业务水平。</w:t>
      </w:r>
    </w:p>
    <w:p w14:paraId="4244EB40">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七、其他需要说明的问题</w:t>
      </w:r>
    </w:p>
    <w:p w14:paraId="14661803">
      <w:pPr>
        <w:pStyle w:val="3"/>
        <w:widowControl w:val="0"/>
        <w:spacing w:before="0" w:beforeAutospacing="0" w:after="0" w:afterAutospacing="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6D1F85C4">
      <w:pPr>
        <w:pStyle w:val="3"/>
        <w:widowControl w:val="0"/>
        <w:spacing w:before="0" w:beforeAutospacing="0" w:after="0" w:afterAutospacing="0" w:line="52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新晃侗族自治县米贝苗族乡学校                </w:t>
      </w:r>
    </w:p>
    <w:p w14:paraId="44D6DB79">
      <w:pPr>
        <w:ind w:firstLine="5440" w:firstLineChars="1700"/>
        <w:jc w:val="right"/>
        <w:rPr>
          <w:rFonts w:eastAsia="仿宋_GB2312"/>
          <w:sz w:val="24"/>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p w14:paraId="005E057A">
      <w:pPr>
        <w:ind w:firstLine="6080" w:firstLineChars="1900"/>
        <w:jc w:val="right"/>
        <w:rPr>
          <w:rFonts w:hint="eastAsia" w:ascii="仿宋_GB2312" w:hAnsi="仿宋_GB2312" w:eastAsia="仿宋_GB2312" w:cs="仿宋_GB2312"/>
          <w:sz w:val="32"/>
          <w:szCs w:val="32"/>
        </w:rPr>
      </w:pPr>
    </w:p>
    <w:p w14:paraId="1811C72F">
      <w:pPr>
        <w:ind w:firstLine="6080" w:firstLineChars="1900"/>
        <w:rPr>
          <w:rFonts w:hint="eastAsia" w:ascii="仿宋_GB2312" w:hAnsi="仿宋_GB2312" w:eastAsia="仿宋_GB2312" w:cs="仿宋_GB2312"/>
          <w:sz w:val="32"/>
          <w:szCs w:val="32"/>
        </w:rPr>
      </w:pPr>
    </w:p>
    <w:p w14:paraId="7B095F44">
      <w:pPr>
        <w:ind w:firstLine="6080" w:firstLineChars="1900"/>
        <w:rPr>
          <w:rFonts w:hint="eastAsia" w:ascii="仿宋_GB2312" w:hAnsi="仿宋_GB2312" w:eastAsia="仿宋_GB2312" w:cs="仿宋_GB2312"/>
          <w:sz w:val="32"/>
          <w:szCs w:val="32"/>
        </w:rPr>
      </w:pPr>
    </w:p>
    <w:p w14:paraId="6FDB48FA">
      <w:pPr>
        <w:ind w:firstLine="6080" w:firstLineChars="1900"/>
        <w:rPr>
          <w:rFonts w:hint="eastAsia" w:ascii="仿宋_GB2312" w:hAnsi="仿宋_GB2312" w:eastAsia="仿宋_GB2312" w:cs="仿宋_GB2312"/>
          <w:sz w:val="32"/>
          <w:szCs w:val="32"/>
        </w:rPr>
      </w:pPr>
    </w:p>
    <w:p w14:paraId="536965B5">
      <w:pPr>
        <w:ind w:firstLine="6080" w:firstLineChars="1900"/>
        <w:rPr>
          <w:rFonts w:hint="eastAsia" w:ascii="仿宋_GB2312" w:hAnsi="仿宋_GB2312" w:eastAsia="仿宋_GB2312" w:cs="仿宋_GB2312"/>
          <w:sz w:val="32"/>
          <w:szCs w:val="32"/>
        </w:rPr>
      </w:pPr>
    </w:p>
    <w:p w14:paraId="3593B3AC">
      <w:pPr>
        <w:ind w:firstLine="6080" w:firstLineChars="1900"/>
        <w:rPr>
          <w:rFonts w:hint="eastAsia" w:ascii="仿宋_GB2312" w:hAnsi="仿宋_GB2312" w:eastAsia="仿宋_GB2312" w:cs="仿宋_GB2312"/>
          <w:sz w:val="32"/>
          <w:szCs w:val="32"/>
        </w:rPr>
      </w:pPr>
    </w:p>
    <w:p w14:paraId="701CE88C">
      <w:pPr>
        <w:ind w:firstLine="6080" w:firstLineChars="1900"/>
        <w:rPr>
          <w:rFonts w:hint="eastAsia" w:ascii="仿宋_GB2312" w:hAnsi="仿宋_GB2312" w:eastAsia="仿宋_GB2312" w:cs="仿宋_GB2312"/>
          <w:sz w:val="32"/>
          <w:szCs w:val="32"/>
        </w:rPr>
      </w:pPr>
    </w:p>
    <w:p w14:paraId="29D8FC75">
      <w:pPr>
        <w:spacing w:line="320" w:lineRule="exact"/>
        <w:ind w:left="0"/>
        <w:jc w:val="left"/>
        <w:rPr>
          <w:rFonts w:hint="eastAsia" w:ascii="仿宋_GB2312" w:hAnsi="仿宋_GB2312" w:eastAsia="仿宋_GB2312" w:cs="仿宋_GB2312"/>
          <w:b/>
          <w:sz w:val="28"/>
          <w:szCs w:val="28"/>
        </w:rPr>
      </w:pPr>
    </w:p>
    <w:p w14:paraId="32C414E0">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4DE3B5A5">
      <w:pPr>
        <w:spacing w:line="320" w:lineRule="exact"/>
        <w:ind w:left="0"/>
        <w:jc w:val="left"/>
        <w:rPr>
          <w:rFonts w:hint="eastAsia" w:ascii="仿宋_GB2312" w:hAnsi="仿宋_GB2312" w:eastAsia="仿宋_GB2312" w:cs="仿宋_GB2312"/>
          <w:b/>
          <w:sz w:val="24"/>
        </w:rPr>
      </w:pPr>
      <w:r>
        <w:rPr>
          <w:rFonts w:hint="eastAsia" w:ascii="仿宋_GB2312" w:hAnsi="仿宋_GB2312" w:eastAsia="仿宋_GB2312" w:cs="仿宋_GB2312"/>
          <w:b/>
          <w:sz w:val="28"/>
          <w:szCs w:val="28"/>
        </w:rPr>
        <w:t>附件2-1</w:t>
      </w:r>
    </w:p>
    <w:p w14:paraId="42B5B615">
      <w:pPr>
        <w:spacing w:line="800" w:lineRule="exact"/>
        <w:jc w:val="center"/>
        <w:rPr>
          <w:rFonts w:hint="eastAsia" w:ascii="宋体" w:hAnsi="宋体"/>
          <w:b/>
          <w:w w:val="90"/>
          <w:sz w:val="36"/>
          <w:szCs w:val="36"/>
        </w:rPr>
      </w:pPr>
      <w:r>
        <w:rPr>
          <w:rFonts w:hint="eastAsia" w:ascii="宋体" w:hAnsi="宋体"/>
          <w:b/>
          <w:w w:val="90"/>
          <w:sz w:val="36"/>
          <w:szCs w:val="36"/>
        </w:rPr>
        <w:t>2024年度新晃县项目绩效自评计分标准</w:t>
      </w:r>
    </w:p>
    <w:tbl>
      <w:tblPr>
        <w:tblStyle w:val="5"/>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14:paraId="5A68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14:paraId="67611D3E">
            <w:pPr>
              <w:spacing w:line="340" w:lineRule="exact"/>
              <w:jc w:val="center"/>
              <w:rPr>
                <w:rFonts w:eastAsia="仿宋_GB2312"/>
                <w:sz w:val="24"/>
              </w:rPr>
            </w:pPr>
            <w:r>
              <w:rPr>
                <w:rFonts w:eastAsia="仿宋_GB2312"/>
                <w:sz w:val="24"/>
              </w:rPr>
              <w:t>评价内容</w:t>
            </w:r>
          </w:p>
        </w:tc>
        <w:tc>
          <w:tcPr>
            <w:tcW w:w="727" w:type="dxa"/>
            <w:noWrap w:val="0"/>
            <w:vAlign w:val="center"/>
          </w:tcPr>
          <w:p w14:paraId="11ECD454">
            <w:pPr>
              <w:spacing w:line="340" w:lineRule="exact"/>
              <w:jc w:val="center"/>
              <w:rPr>
                <w:rFonts w:eastAsia="仿宋_GB2312"/>
                <w:sz w:val="24"/>
              </w:rPr>
            </w:pPr>
            <w:r>
              <w:rPr>
                <w:rFonts w:eastAsia="仿宋_GB2312"/>
                <w:sz w:val="24"/>
              </w:rPr>
              <w:t>分值</w:t>
            </w:r>
          </w:p>
        </w:tc>
        <w:tc>
          <w:tcPr>
            <w:tcW w:w="6770" w:type="dxa"/>
            <w:noWrap w:val="0"/>
            <w:vAlign w:val="center"/>
          </w:tcPr>
          <w:p w14:paraId="6D5961B2">
            <w:pPr>
              <w:spacing w:line="340" w:lineRule="exact"/>
              <w:jc w:val="center"/>
              <w:rPr>
                <w:rFonts w:eastAsia="仿宋_GB2312"/>
                <w:sz w:val="24"/>
              </w:rPr>
            </w:pPr>
            <w:r>
              <w:rPr>
                <w:rFonts w:eastAsia="仿宋_GB2312"/>
                <w:sz w:val="24"/>
              </w:rPr>
              <w:t>评分标准</w:t>
            </w:r>
          </w:p>
        </w:tc>
      </w:tr>
      <w:tr w14:paraId="1065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14:paraId="0268A7A9">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14:paraId="53094E3A">
            <w:pPr>
              <w:spacing w:line="340" w:lineRule="exact"/>
              <w:jc w:val="center"/>
              <w:rPr>
                <w:rFonts w:eastAsia="仿宋_GB2312"/>
                <w:sz w:val="24"/>
              </w:rPr>
            </w:pPr>
            <w:r>
              <w:rPr>
                <w:rFonts w:eastAsia="仿宋_GB2312"/>
                <w:sz w:val="24"/>
              </w:rPr>
              <w:t>10</w:t>
            </w:r>
          </w:p>
        </w:tc>
        <w:tc>
          <w:tcPr>
            <w:tcW w:w="6770" w:type="dxa"/>
            <w:noWrap w:val="0"/>
            <w:vAlign w:val="top"/>
          </w:tcPr>
          <w:p w14:paraId="43E72FCD">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14:paraId="735AE623">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14:paraId="4E7F1DF6">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14:paraId="24DE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14:paraId="388F5D10">
            <w:pPr>
              <w:spacing w:line="300" w:lineRule="exact"/>
              <w:jc w:val="center"/>
              <w:rPr>
                <w:rFonts w:eastAsia="仿宋_GB2312"/>
                <w:sz w:val="24"/>
              </w:rPr>
            </w:pPr>
            <w:r>
              <w:rPr>
                <w:rFonts w:eastAsia="仿宋_GB2312"/>
                <w:sz w:val="24"/>
              </w:rPr>
              <w:t>预算执行率</w:t>
            </w:r>
          </w:p>
        </w:tc>
        <w:tc>
          <w:tcPr>
            <w:tcW w:w="727" w:type="dxa"/>
            <w:noWrap w:val="0"/>
            <w:vAlign w:val="center"/>
          </w:tcPr>
          <w:p w14:paraId="505D4569">
            <w:pPr>
              <w:spacing w:line="340" w:lineRule="exact"/>
              <w:jc w:val="center"/>
              <w:rPr>
                <w:rFonts w:eastAsia="仿宋_GB2312"/>
                <w:sz w:val="24"/>
              </w:rPr>
            </w:pPr>
            <w:r>
              <w:rPr>
                <w:rFonts w:eastAsia="仿宋_GB2312"/>
                <w:sz w:val="24"/>
              </w:rPr>
              <w:t>10</w:t>
            </w:r>
          </w:p>
        </w:tc>
        <w:tc>
          <w:tcPr>
            <w:tcW w:w="6770" w:type="dxa"/>
            <w:noWrap w:val="0"/>
            <w:vAlign w:val="center"/>
          </w:tcPr>
          <w:p w14:paraId="55589FCE">
            <w:pPr>
              <w:spacing w:line="440" w:lineRule="exact"/>
              <w:rPr>
                <w:rFonts w:eastAsia="仿宋_GB2312"/>
                <w:sz w:val="24"/>
              </w:rPr>
            </w:pPr>
            <w:r>
              <w:rPr>
                <w:rFonts w:eastAsia="仿宋_GB2312"/>
                <w:sz w:val="24"/>
              </w:rPr>
              <w:t>预算执行率S≥95%，得满分；每下降1%，扣0.25分，扣完为止。</w:t>
            </w:r>
          </w:p>
        </w:tc>
      </w:tr>
      <w:tr w14:paraId="0123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14:paraId="5CB637E9">
            <w:pPr>
              <w:spacing w:line="340" w:lineRule="exact"/>
              <w:jc w:val="center"/>
              <w:rPr>
                <w:rFonts w:hint="eastAsia" w:eastAsia="仿宋_GB2312"/>
                <w:sz w:val="24"/>
              </w:rPr>
            </w:pPr>
            <w:r>
              <w:rPr>
                <w:rFonts w:eastAsia="仿宋_GB2312"/>
                <w:sz w:val="24"/>
              </w:rPr>
              <w:t>项目组织</w:t>
            </w:r>
          </w:p>
          <w:p w14:paraId="5FEC09EA">
            <w:pPr>
              <w:spacing w:line="340" w:lineRule="exact"/>
              <w:jc w:val="center"/>
              <w:rPr>
                <w:rFonts w:eastAsia="仿宋_GB2312"/>
                <w:sz w:val="24"/>
              </w:rPr>
            </w:pPr>
            <w:r>
              <w:rPr>
                <w:rFonts w:eastAsia="仿宋_GB2312"/>
                <w:sz w:val="24"/>
              </w:rPr>
              <w:t>管理水平</w:t>
            </w:r>
          </w:p>
        </w:tc>
        <w:tc>
          <w:tcPr>
            <w:tcW w:w="727" w:type="dxa"/>
            <w:noWrap w:val="0"/>
            <w:vAlign w:val="center"/>
          </w:tcPr>
          <w:p w14:paraId="63378E0C">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33EB01B2">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14:paraId="5E9DE436">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14:paraId="2713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14:paraId="3D236367">
            <w:pPr>
              <w:spacing w:line="340" w:lineRule="exact"/>
              <w:jc w:val="center"/>
              <w:rPr>
                <w:rFonts w:hint="eastAsia" w:eastAsia="仿宋_GB2312"/>
                <w:sz w:val="24"/>
              </w:rPr>
            </w:pPr>
            <w:r>
              <w:rPr>
                <w:rFonts w:eastAsia="仿宋_GB2312"/>
                <w:sz w:val="24"/>
              </w:rPr>
              <w:t>资金支出</w:t>
            </w:r>
          </w:p>
          <w:p w14:paraId="38CA8111">
            <w:pPr>
              <w:spacing w:line="340" w:lineRule="exact"/>
              <w:jc w:val="center"/>
              <w:rPr>
                <w:rFonts w:eastAsia="仿宋_GB2312"/>
                <w:sz w:val="24"/>
              </w:rPr>
            </w:pPr>
            <w:r>
              <w:rPr>
                <w:rFonts w:eastAsia="仿宋_GB2312"/>
                <w:sz w:val="24"/>
              </w:rPr>
              <w:t>合理合规</w:t>
            </w:r>
          </w:p>
        </w:tc>
        <w:tc>
          <w:tcPr>
            <w:tcW w:w="727" w:type="dxa"/>
            <w:noWrap w:val="0"/>
            <w:vAlign w:val="center"/>
          </w:tcPr>
          <w:p w14:paraId="4102413E">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1C4FC7CF">
            <w:pPr>
              <w:spacing w:line="460" w:lineRule="exact"/>
              <w:rPr>
                <w:rFonts w:eastAsia="仿宋_GB2312"/>
                <w:sz w:val="24"/>
              </w:rPr>
            </w:pPr>
            <w:r>
              <w:rPr>
                <w:rFonts w:eastAsia="仿宋_GB2312"/>
                <w:sz w:val="24"/>
              </w:rPr>
              <w:t>资金支出合理合规比率=（项目资金支出-不合理合规资金支出）/项目资金支出×100%。</w:t>
            </w:r>
          </w:p>
          <w:p w14:paraId="6AF63BD9">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14:paraId="1A28730A">
            <w:pPr>
              <w:spacing w:line="460" w:lineRule="exact"/>
              <w:rPr>
                <w:rFonts w:eastAsia="仿宋_GB2312"/>
                <w:sz w:val="24"/>
              </w:rPr>
            </w:pPr>
            <w:r>
              <w:rPr>
                <w:rFonts w:eastAsia="仿宋_GB2312"/>
                <w:sz w:val="24"/>
              </w:rPr>
              <w:t>资金支出合理合规比率S=100%，得满分；每下降1%，扣1分，扣完为止。</w:t>
            </w:r>
          </w:p>
        </w:tc>
      </w:tr>
      <w:tr w14:paraId="4A79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14:paraId="127A3628">
            <w:pPr>
              <w:spacing w:line="340" w:lineRule="exact"/>
              <w:jc w:val="center"/>
              <w:rPr>
                <w:rFonts w:eastAsia="仿宋_GB2312"/>
                <w:sz w:val="24"/>
              </w:rPr>
            </w:pPr>
            <w:r>
              <w:rPr>
                <w:rFonts w:eastAsia="仿宋_GB2312"/>
                <w:sz w:val="24"/>
              </w:rPr>
              <w:t>项目</w:t>
            </w:r>
          </w:p>
          <w:p w14:paraId="1EF71A87">
            <w:pPr>
              <w:spacing w:line="340" w:lineRule="exact"/>
              <w:jc w:val="center"/>
              <w:rPr>
                <w:rFonts w:eastAsia="仿宋_GB2312"/>
                <w:sz w:val="24"/>
              </w:rPr>
            </w:pPr>
            <w:r>
              <w:rPr>
                <w:rFonts w:eastAsia="仿宋_GB2312"/>
                <w:sz w:val="24"/>
              </w:rPr>
              <w:t>产出</w:t>
            </w:r>
          </w:p>
        </w:tc>
        <w:tc>
          <w:tcPr>
            <w:tcW w:w="727" w:type="dxa"/>
            <w:noWrap w:val="0"/>
            <w:vAlign w:val="center"/>
          </w:tcPr>
          <w:p w14:paraId="074AB9AF">
            <w:pPr>
              <w:spacing w:line="340" w:lineRule="exact"/>
              <w:jc w:val="center"/>
              <w:rPr>
                <w:rFonts w:eastAsia="仿宋_GB2312"/>
                <w:sz w:val="24"/>
              </w:rPr>
            </w:pPr>
            <w:r>
              <w:rPr>
                <w:rFonts w:eastAsia="仿宋_GB2312"/>
                <w:sz w:val="24"/>
              </w:rPr>
              <w:t>30</w:t>
            </w:r>
          </w:p>
        </w:tc>
        <w:tc>
          <w:tcPr>
            <w:tcW w:w="6770" w:type="dxa"/>
            <w:noWrap w:val="0"/>
            <w:vAlign w:val="top"/>
          </w:tcPr>
          <w:p w14:paraId="1CEFE594">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14:paraId="1E9A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14:paraId="22C48547">
            <w:pPr>
              <w:spacing w:line="340" w:lineRule="exact"/>
              <w:jc w:val="center"/>
              <w:rPr>
                <w:rFonts w:hint="eastAsia" w:eastAsia="仿宋_GB2312"/>
                <w:sz w:val="24"/>
              </w:rPr>
            </w:pPr>
            <w:r>
              <w:rPr>
                <w:rFonts w:eastAsia="仿宋_GB2312"/>
                <w:sz w:val="24"/>
              </w:rPr>
              <w:t>项目效益</w:t>
            </w:r>
          </w:p>
          <w:p w14:paraId="440070B2">
            <w:pPr>
              <w:spacing w:line="340" w:lineRule="exact"/>
              <w:jc w:val="center"/>
              <w:rPr>
                <w:rFonts w:eastAsia="仿宋_GB2312"/>
                <w:sz w:val="24"/>
              </w:rPr>
            </w:pPr>
            <w:r>
              <w:rPr>
                <w:rFonts w:eastAsia="仿宋_GB2312"/>
                <w:sz w:val="24"/>
              </w:rPr>
              <w:t>（效果）</w:t>
            </w:r>
          </w:p>
        </w:tc>
        <w:tc>
          <w:tcPr>
            <w:tcW w:w="727" w:type="dxa"/>
            <w:noWrap w:val="0"/>
            <w:vAlign w:val="center"/>
          </w:tcPr>
          <w:p w14:paraId="0ECA2B7E">
            <w:pPr>
              <w:spacing w:line="340" w:lineRule="exact"/>
              <w:jc w:val="center"/>
              <w:rPr>
                <w:rFonts w:eastAsia="仿宋_GB2312"/>
                <w:sz w:val="24"/>
              </w:rPr>
            </w:pPr>
            <w:r>
              <w:rPr>
                <w:rFonts w:eastAsia="仿宋_GB2312"/>
                <w:sz w:val="24"/>
              </w:rPr>
              <w:t>20</w:t>
            </w:r>
          </w:p>
        </w:tc>
        <w:tc>
          <w:tcPr>
            <w:tcW w:w="6770" w:type="dxa"/>
            <w:noWrap w:val="0"/>
            <w:vAlign w:val="top"/>
          </w:tcPr>
          <w:p w14:paraId="16705DC2">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14:paraId="2F5D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14:paraId="1729C2B2">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14:paraId="57E3B7B5">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14:paraId="1F4BA94C">
            <w:pPr>
              <w:spacing w:line="340" w:lineRule="exact"/>
              <w:jc w:val="left"/>
              <w:rPr>
                <w:rFonts w:hint="eastAsia" w:eastAsia="仿宋_GB2312"/>
                <w:sz w:val="24"/>
              </w:rPr>
            </w:pPr>
            <w:r>
              <w:rPr>
                <w:rFonts w:hint="eastAsia" w:eastAsia="仿宋_GB2312"/>
                <w:sz w:val="24"/>
              </w:rPr>
              <w:t>服务对象满意度计分：</w:t>
            </w:r>
          </w:p>
          <w:p w14:paraId="399CDE93">
            <w:pPr>
              <w:spacing w:line="340" w:lineRule="exact"/>
              <w:jc w:val="left"/>
              <w:rPr>
                <w:rFonts w:hint="eastAsia" w:eastAsia="仿宋_GB2312"/>
                <w:sz w:val="24"/>
              </w:rPr>
            </w:pPr>
            <w:r>
              <w:rPr>
                <w:rFonts w:hint="eastAsia" w:eastAsia="仿宋_GB2312"/>
                <w:sz w:val="24"/>
              </w:rPr>
              <w:t>90%≤满意度≤100%记10分，</w:t>
            </w:r>
          </w:p>
          <w:p w14:paraId="3A926D3D">
            <w:pPr>
              <w:spacing w:line="340" w:lineRule="exact"/>
              <w:jc w:val="left"/>
              <w:rPr>
                <w:rFonts w:hint="eastAsia" w:eastAsia="仿宋_GB2312"/>
                <w:sz w:val="24"/>
              </w:rPr>
            </w:pPr>
            <w:r>
              <w:rPr>
                <w:rFonts w:hint="eastAsia" w:eastAsia="仿宋_GB2312"/>
                <w:sz w:val="24"/>
              </w:rPr>
              <w:t>80%≤满意度&lt;90%记8分，</w:t>
            </w:r>
          </w:p>
          <w:p w14:paraId="14481ED3">
            <w:pPr>
              <w:spacing w:line="340" w:lineRule="exact"/>
              <w:jc w:val="left"/>
              <w:rPr>
                <w:rFonts w:hint="eastAsia" w:eastAsia="仿宋_GB2312"/>
                <w:sz w:val="24"/>
              </w:rPr>
            </w:pPr>
            <w:r>
              <w:rPr>
                <w:rFonts w:hint="eastAsia" w:eastAsia="仿宋_GB2312"/>
                <w:sz w:val="24"/>
              </w:rPr>
              <w:t>70%≤满意度&lt;80%记6分，</w:t>
            </w:r>
          </w:p>
          <w:p w14:paraId="3F349F34">
            <w:pPr>
              <w:spacing w:line="340" w:lineRule="exact"/>
              <w:jc w:val="left"/>
              <w:rPr>
                <w:rFonts w:hint="eastAsia" w:eastAsia="仿宋_GB2312"/>
                <w:sz w:val="24"/>
              </w:rPr>
            </w:pPr>
            <w:r>
              <w:rPr>
                <w:rFonts w:hint="eastAsia" w:eastAsia="仿宋_GB2312"/>
                <w:sz w:val="24"/>
              </w:rPr>
              <w:t>60%≤满意度&lt;70%记4分，</w:t>
            </w:r>
          </w:p>
          <w:p w14:paraId="5BB55865">
            <w:pPr>
              <w:spacing w:line="340" w:lineRule="exact"/>
              <w:jc w:val="left"/>
              <w:rPr>
                <w:rFonts w:eastAsia="仿宋_GB2312"/>
                <w:sz w:val="24"/>
              </w:rPr>
            </w:pPr>
            <w:r>
              <w:rPr>
                <w:rFonts w:hint="eastAsia" w:eastAsia="仿宋_GB2312"/>
                <w:sz w:val="24"/>
              </w:rPr>
              <w:t>满意度&lt;60%记0分。</w:t>
            </w:r>
          </w:p>
        </w:tc>
      </w:tr>
    </w:tbl>
    <w:p w14:paraId="07B400EF">
      <w:pPr>
        <w:ind w:left="0" w:leftChars="0" w:firstLine="0" w:firstLineChars="0"/>
      </w:pPr>
    </w:p>
    <w:sectPr>
      <w:pgSz w:w="11906" w:h="16838"/>
      <w:pgMar w:top="363" w:right="1800" w:bottom="476"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201C1"/>
    <w:multiLevelType w:val="singleLevel"/>
    <w:tmpl w:val="2D5201C1"/>
    <w:lvl w:ilvl="0" w:tentative="0">
      <w:start w:val="2"/>
      <w:numFmt w:val="chineseCounting"/>
      <w:suff w:val="nothing"/>
      <w:lvlText w:val="（%1）"/>
      <w:lvlJc w:val="left"/>
      <w:pPr>
        <w:ind w:left="-41"/>
      </w:pPr>
      <w:rPr>
        <w:rFonts w:hint="eastAsia"/>
      </w:rPr>
    </w:lvl>
  </w:abstractNum>
  <w:abstractNum w:abstractNumId="1">
    <w:nsid w:val="33BD9735"/>
    <w:multiLevelType w:val="singleLevel"/>
    <w:tmpl w:val="33BD9735"/>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D3A42"/>
    <w:rsid w:val="0E3759DB"/>
    <w:rsid w:val="1FE73A01"/>
    <w:rsid w:val="21CD17AD"/>
    <w:rsid w:val="26B62AAF"/>
    <w:rsid w:val="2CBA1532"/>
    <w:rsid w:val="47EF4992"/>
    <w:rsid w:val="4B270615"/>
    <w:rsid w:val="4B763C59"/>
    <w:rsid w:val="514754D2"/>
    <w:rsid w:val="51CD5FDB"/>
    <w:rsid w:val="54CC782F"/>
    <w:rsid w:val="55055126"/>
    <w:rsid w:val="5B47525D"/>
    <w:rsid w:val="61CA33D6"/>
    <w:rsid w:val="7CE301F3"/>
    <w:rsid w:val="7E83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4">
    <w:name w:val="Body Text First Indent"/>
    <w:basedOn w:val="2"/>
    <w:qFormat/>
    <w:uiPriority w:val="0"/>
    <w:pPr>
      <w:spacing w:after="200"/>
      <w:ind w:firstLine="100" w:firstLineChars="100"/>
      <w:jc w:val="center"/>
    </w:pPr>
    <w:rPr>
      <w:rFonts w:ascii="??_GB2312" w:hAnsi="??_GB2312" w:cs="??_GB2312"/>
      <w:sz w:val="24"/>
    </w:rPr>
  </w:style>
  <w:style w:type="character" w:styleId="7">
    <w:name w:val="Strong"/>
    <w:qFormat/>
    <w:uiPriority w:val="0"/>
    <w:rPr>
      <w:b/>
      <w:bCs/>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4243</Words>
  <Characters>4446</Characters>
  <Lines>0</Lines>
  <Paragraphs>0</Paragraphs>
  <TotalTime>1</TotalTime>
  <ScaleCrop>false</ScaleCrop>
  <LinksUpToDate>false</LinksUpToDate>
  <CharactersWithSpaces>4564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新晃天平职业培训</cp:lastModifiedBy>
  <cp:lastPrinted>2025-03-05T07:44:00Z</cp:lastPrinted>
  <dcterms:modified xsi:type="dcterms:W3CDTF">2025-03-21T04:10:25Z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eyJoZGlkIjoiN2M0YWFkZWNlYTkwMGE1ODc3MzAyNTk5ZjMwMWVmYWIiLCJ1c2VySWQiOiI0NDUxMzAyMDgifQ==</vt:lpwstr>
  </property>
  <property fmtid="{D5CDD505-2E9C-101B-9397-08002B2CF9AE}" pid="4" name="ICV">
    <vt:lpwstr>B2E0E6CD074342C7AA8B6EC7FD76D592_13</vt:lpwstr>
  </property>
</Properties>
</file>